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30" w:rsidRDefault="00434BC7" w:rsidP="00434BC7">
      <w:pPr>
        <w:pStyle w:val="Heading1"/>
        <w:spacing w:before="79"/>
        <w:ind w:left="0" w:right="1879"/>
        <w:rPr>
          <w:u w:val="none"/>
        </w:rPr>
      </w:pPr>
      <w:r>
        <w:rPr>
          <w:u w:val="none"/>
        </w:rPr>
        <w:t xml:space="preserve">Functions and responsibilities of </w:t>
      </w:r>
      <w:r w:rsidR="00C80728">
        <w:rPr>
          <w:u w:val="none"/>
        </w:rPr>
        <w:t>Enforcement</w:t>
      </w:r>
      <w:r w:rsidR="00C80728">
        <w:rPr>
          <w:spacing w:val="-3"/>
          <w:u w:val="none"/>
        </w:rPr>
        <w:t xml:space="preserve"> </w:t>
      </w:r>
      <w:r w:rsidR="00C80728">
        <w:rPr>
          <w:u w:val="none"/>
        </w:rPr>
        <w:t>Department</w:t>
      </w:r>
    </w:p>
    <w:p w:rsidR="00BA6030" w:rsidRDefault="00BA6030">
      <w:pPr>
        <w:pStyle w:val="BodyText"/>
        <w:spacing w:before="0"/>
        <w:ind w:left="0"/>
        <w:jc w:val="left"/>
        <w:rPr>
          <w:rFonts w:ascii="Arial"/>
          <w:b/>
          <w:sz w:val="26"/>
        </w:rPr>
      </w:pPr>
    </w:p>
    <w:p w:rsidR="00BA6030" w:rsidRDefault="00BA6030">
      <w:pPr>
        <w:pStyle w:val="BodyText"/>
        <w:spacing w:before="10"/>
        <w:ind w:left="0"/>
        <w:jc w:val="left"/>
        <w:rPr>
          <w:rFonts w:ascii="Arial"/>
          <w:b/>
          <w:sz w:val="32"/>
        </w:rPr>
      </w:pPr>
    </w:p>
    <w:p w:rsidR="00BA6030" w:rsidRDefault="00C80728">
      <w:pPr>
        <w:spacing w:before="1"/>
        <w:ind w:left="167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Introduction</w:t>
      </w:r>
      <w:bookmarkStart w:id="0" w:name="_GoBack"/>
      <w:bookmarkEnd w:id="0"/>
    </w:p>
    <w:p w:rsidR="00BA6030" w:rsidRDefault="00C80728">
      <w:pPr>
        <w:pStyle w:val="BodyText"/>
        <w:ind w:right="114"/>
      </w:pPr>
      <w:r>
        <w:t>Section</w:t>
      </w:r>
      <w:r>
        <w:rPr>
          <w:spacing w:val="1"/>
        </w:rPr>
        <w:t xml:space="preserve"> </w:t>
      </w:r>
      <w:r>
        <w:t>14(2)(h)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IRDA</w:t>
      </w:r>
      <w:r>
        <w:rPr>
          <w:spacing w:val="1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1999,</w:t>
      </w:r>
      <w:r>
        <w:rPr>
          <w:spacing w:val="1"/>
        </w:rPr>
        <w:t xml:space="preserve"> </w:t>
      </w:r>
      <w:r>
        <w:t>empowers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inspection of the entities regulated by it. Accordingly, the Authority carries out the</w:t>
      </w:r>
      <w:r>
        <w:rPr>
          <w:spacing w:val="1"/>
        </w:rPr>
        <w:t xml:space="preserve"> </w:t>
      </w:r>
      <w:r>
        <w:t>inspection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regulated entities</w:t>
      </w:r>
      <w:r>
        <w:rPr>
          <w:spacing w:val="-1"/>
        </w:rPr>
        <w:t xml:space="preserve"> </w:t>
      </w:r>
      <w:r>
        <w:t>on an ongoing</w:t>
      </w:r>
      <w:r>
        <w:rPr>
          <w:spacing w:val="-1"/>
        </w:rPr>
        <w:t xml:space="preserve"> </w:t>
      </w:r>
      <w:r>
        <w:t>basis.</w:t>
      </w:r>
    </w:p>
    <w:p w:rsidR="00BA6030" w:rsidRDefault="00C80728">
      <w:pPr>
        <w:pStyle w:val="BodyText"/>
      </w:pPr>
      <w:r>
        <w:t>Inspections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 two categories</w:t>
      </w:r>
    </w:p>
    <w:p w:rsidR="00BA6030" w:rsidRDefault="00C80728">
      <w:pPr>
        <w:pStyle w:val="ListParagraph"/>
        <w:numPr>
          <w:ilvl w:val="0"/>
          <w:numId w:val="1"/>
        </w:numPr>
        <w:tabs>
          <w:tab w:val="left" w:pos="394"/>
        </w:tabs>
        <w:spacing w:before="202"/>
        <w:ind w:right="122" w:firstLine="67"/>
        <w:jc w:val="both"/>
        <w:rPr>
          <w:sz w:val="24"/>
        </w:rPr>
      </w:pPr>
      <w:r>
        <w:rPr>
          <w:sz w:val="24"/>
        </w:rPr>
        <w:t>Periodic Comprehensive on-site inspections to assess status of compliance with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Act,</w:t>
      </w:r>
      <w:r>
        <w:rPr>
          <w:spacing w:val="1"/>
          <w:sz w:val="24"/>
        </w:rPr>
        <w:t xml:space="preserve"> </w:t>
      </w:r>
      <w:r>
        <w:rPr>
          <w:sz w:val="24"/>
        </w:rPr>
        <w:t>1938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regulations/circulars/guidelines/directions issued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IRDAI.</w:t>
      </w:r>
    </w:p>
    <w:p w:rsidR="00BA6030" w:rsidRDefault="00C80728">
      <w:pPr>
        <w:pStyle w:val="ListParagraph"/>
        <w:numPr>
          <w:ilvl w:val="0"/>
          <w:numId w:val="1"/>
        </w:numPr>
        <w:tabs>
          <w:tab w:val="left" w:pos="468"/>
        </w:tabs>
        <w:ind w:right="125" w:firstLine="0"/>
        <w:jc w:val="both"/>
        <w:rPr>
          <w:sz w:val="24"/>
        </w:rPr>
      </w:pPr>
      <w:r>
        <w:rPr>
          <w:sz w:val="24"/>
        </w:rPr>
        <w:t>Targeted/Focused</w:t>
      </w:r>
      <w:r>
        <w:rPr>
          <w:spacing w:val="1"/>
          <w:sz w:val="24"/>
        </w:rPr>
        <w:t xml:space="preserve"> </w:t>
      </w:r>
      <w:r>
        <w:rPr>
          <w:sz w:val="24"/>
        </w:rPr>
        <w:t>inspections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check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aspect/to</w:t>
      </w:r>
      <w:r>
        <w:rPr>
          <w:spacing w:val="1"/>
          <w:sz w:val="24"/>
        </w:rPr>
        <w:t xml:space="preserve"> </w:t>
      </w:r>
      <w:r>
        <w:rPr>
          <w:sz w:val="24"/>
        </w:rPr>
        <w:t>investigate a</w:t>
      </w:r>
      <w:r>
        <w:rPr>
          <w:spacing w:val="1"/>
          <w:sz w:val="24"/>
        </w:rPr>
        <w:t xml:space="preserve"> </w:t>
      </w:r>
      <w:r>
        <w:rPr>
          <w:sz w:val="24"/>
        </w:rPr>
        <w:t>specific issue/consumer complaint.</w:t>
      </w:r>
    </w:p>
    <w:p w:rsidR="00BA6030" w:rsidRDefault="00C80728">
      <w:pPr>
        <w:pStyle w:val="Heading1"/>
        <w:spacing w:before="199"/>
        <w:rPr>
          <w:u w:val="none"/>
        </w:rPr>
      </w:pPr>
      <w:r>
        <w:rPr>
          <w:u w:val="thick"/>
        </w:rPr>
        <w:t>Processes</w:t>
      </w:r>
      <w:r>
        <w:rPr>
          <w:spacing w:val="-3"/>
          <w:u w:val="thick"/>
        </w:rPr>
        <w:t xml:space="preserve"> </w:t>
      </w:r>
      <w:r>
        <w:rPr>
          <w:u w:val="thick"/>
        </w:rPr>
        <w:t>involved</w:t>
      </w:r>
      <w:r>
        <w:rPr>
          <w:spacing w:val="-3"/>
          <w:u w:val="thick"/>
        </w:rPr>
        <w:t xml:space="preserve"> </w:t>
      </w:r>
      <w:r>
        <w:rPr>
          <w:u w:val="thick"/>
        </w:rPr>
        <w:t>in</w:t>
      </w:r>
      <w:r>
        <w:rPr>
          <w:spacing w:val="-3"/>
          <w:u w:val="thick"/>
        </w:rPr>
        <w:t xml:space="preserve"> </w:t>
      </w:r>
      <w:r>
        <w:rPr>
          <w:u w:val="thick"/>
        </w:rPr>
        <w:t>Enforcement</w:t>
      </w:r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Dept</w:t>
      </w:r>
      <w:proofErr w:type="spellEnd"/>
      <w:r>
        <w:rPr>
          <w:u w:val="thick"/>
        </w:rPr>
        <w:t>:</w:t>
      </w:r>
    </w:p>
    <w:p w:rsidR="00BA6030" w:rsidRDefault="00C80728">
      <w:pPr>
        <w:pStyle w:val="BodyText"/>
        <w:spacing w:before="202"/>
        <w:ind w:right="115" w:firstLine="67"/>
      </w:pPr>
      <w:r>
        <w:t>Upon completion of the onsite inspection the reports of such inspections along with</w:t>
      </w:r>
      <w:r>
        <w:rPr>
          <w:spacing w:val="1"/>
        </w:rPr>
        <w:t xml:space="preserve"> </w:t>
      </w:r>
      <w:r>
        <w:t>the response of the entity thereto are submitted to the Enforcement Department for</w:t>
      </w:r>
      <w:r>
        <w:rPr>
          <w:spacing w:val="1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further action on</w:t>
      </w:r>
      <w:r>
        <w:rPr>
          <w:spacing w:val="-2"/>
        </w:rPr>
        <w:t xml:space="preserve"> </w:t>
      </w:r>
      <w:r>
        <w:t>them.</w:t>
      </w:r>
    </w:p>
    <w:p w:rsidR="00BA6030" w:rsidRDefault="00C80728">
      <w:pPr>
        <w:pStyle w:val="BodyText"/>
        <w:ind w:right="125"/>
      </w:pPr>
      <w:r>
        <w:t>Review/Action</w:t>
      </w:r>
      <w:r>
        <w:rPr>
          <w:spacing w:val="1"/>
        </w:rPr>
        <w:t xml:space="preserve"> </w:t>
      </w:r>
      <w:r>
        <w:t>on the inspection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is done</w:t>
      </w:r>
      <w:r>
        <w:rPr>
          <w:spacing w:val="1"/>
        </w:rPr>
        <w:t xml:space="preserve"> </w:t>
      </w:r>
      <w:r>
        <w:t>by Enforcement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consultation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departments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 to</w:t>
      </w:r>
      <w:r>
        <w:rPr>
          <w:spacing w:val="-1"/>
        </w:rPr>
        <w:t xml:space="preserve"> </w:t>
      </w:r>
      <w:r>
        <w:t>a logical</w:t>
      </w:r>
      <w:r>
        <w:rPr>
          <w:spacing w:val="-1"/>
        </w:rPr>
        <w:t xml:space="preserve"> </w:t>
      </w:r>
      <w:r>
        <w:t>end.</w:t>
      </w:r>
    </w:p>
    <w:p w:rsidR="00BA6030" w:rsidRDefault="00C80728">
      <w:pPr>
        <w:pStyle w:val="BodyText"/>
        <w:ind w:right="116"/>
      </w:pPr>
      <w:r>
        <w:t>If clarifications are required on the observations contained in the inspection reports,</w:t>
      </w:r>
      <w:r>
        <w:rPr>
          <w:spacing w:val="1"/>
        </w:rPr>
        <w:t xml:space="preserve"> </w:t>
      </w:r>
      <w:r>
        <w:t>then the same are obtained from the respective functional departments on a case to</w:t>
      </w:r>
      <w:r>
        <w:rPr>
          <w:spacing w:val="1"/>
        </w:rPr>
        <w:t xml:space="preserve"> </w:t>
      </w:r>
      <w:r>
        <w:t>case basis.</w:t>
      </w:r>
    </w:p>
    <w:p w:rsidR="00BA6030" w:rsidRDefault="00C80728">
      <w:pPr>
        <w:pStyle w:val="BodyText"/>
        <w:spacing w:before="200"/>
        <w:ind w:right="115"/>
      </w:pPr>
      <w:r>
        <w:t>Further, the proposed course of action in regard to the observations as finalized by</w:t>
      </w:r>
      <w:r>
        <w:rPr>
          <w:spacing w:val="1"/>
        </w:rPr>
        <w:t xml:space="preserve"> </w:t>
      </w:r>
      <w:r>
        <w:t>the Enforcement dept.</w:t>
      </w:r>
      <w:r>
        <w:rPr>
          <w:spacing w:val="1"/>
        </w:rPr>
        <w:t xml:space="preserve"> </w:t>
      </w:r>
      <w:r>
        <w:t>along with the executive summary</w:t>
      </w:r>
      <w:r>
        <w:rPr>
          <w:spacing w:val="1"/>
        </w:rPr>
        <w:t xml:space="preserve"> </w:t>
      </w:r>
      <w:r>
        <w:t>are submitted to the</w:t>
      </w:r>
      <w:r>
        <w:rPr>
          <w:spacing w:val="1"/>
        </w:rPr>
        <w:t xml:space="preserve"> </w:t>
      </w:r>
      <w:r>
        <w:t>concerned Whole Time Members(WTM) for their comments/inputs within 10 days’</w:t>
      </w:r>
      <w:r>
        <w:rPr>
          <w:spacing w:val="1"/>
        </w:rPr>
        <w:t xml:space="preserve"> </w:t>
      </w:r>
      <w:r>
        <w:t>time.</w:t>
      </w:r>
    </w:p>
    <w:p w:rsidR="00BA6030" w:rsidRDefault="00C80728">
      <w:pPr>
        <w:pStyle w:val="BodyText"/>
        <w:spacing w:before="201"/>
        <w:ind w:right="117"/>
      </w:pPr>
      <w:r>
        <w:t>The entities are given opportunity of being heard before taking regulatory action.</w:t>
      </w:r>
      <w:r>
        <w:rPr>
          <w:spacing w:val="1"/>
        </w:rPr>
        <w:t xml:space="preserve"> </w:t>
      </w:r>
      <w:r>
        <w:t>Inspected</w:t>
      </w:r>
      <w:r>
        <w:rPr>
          <w:spacing w:val="-4"/>
        </w:rPr>
        <w:t xml:space="preserve"> </w:t>
      </w:r>
      <w:r>
        <w:t>entities</w:t>
      </w:r>
      <w:r>
        <w:rPr>
          <w:spacing w:val="-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heard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stages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under:</w:t>
      </w:r>
    </w:p>
    <w:p w:rsidR="00BA6030" w:rsidRDefault="00C80728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inspections</w:t>
      </w:r>
    </w:p>
    <w:p w:rsidR="00BA6030" w:rsidRDefault="00C80728">
      <w:pPr>
        <w:pStyle w:val="ListParagraph"/>
        <w:numPr>
          <w:ilvl w:val="1"/>
          <w:numId w:val="1"/>
        </w:numPr>
        <w:tabs>
          <w:tab w:val="left" w:pos="821"/>
        </w:tabs>
        <w:spacing w:before="199"/>
        <w:ind w:hanging="361"/>
        <w:rPr>
          <w:sz w:val="24"/>
        </w:rPr>
      </w:pPr>
      <w:r>
        <w:rPr>
          <w:sz w:val="24"/>
        </w:rPr>
        <w:t>Submission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</w:p>
    <w:p w:rsidR="00BA6030" w:rsidRDefault="00C80728">
      <w:pPr>
        <w:pStyle w:val="ListParagraph"/>
        <w:numPr>
          <w:ilvl w:val="1"/>
          <w:numId w:val="1"/>
        </w:numPr>
        <w:tabs>
          <w:tab w:val="left" w:pos="821"/>
        </w:tabs>
        <w:spacing w:before="201"/>
        <w:ind w:hanging="361"/>
        <w:rPr>
          <w:sz w:val="24"/>
        </w:rPr>
      </w:pPr>
      <w:r>
        <w:rPr>
          <w:sz w:val="24"/>
        </w:rPr>
        <w:t>Submissions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further</w:t>
      </w:r>
      <w:r>
        <w:rPr>
          <w:spacing w:val="-5"/>
          <w:sz w:val="24"/>
        </w:rPr>
        <w:t xml:space="preserve"> </w:t>
      </w:r>
      <w:r>
        <w:rPr>
          <w:sz w:val="24"/>
        </w:rPr>
        <w:t>queries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Authority</w:t>
      </w:r>
    </w:p>
    <w:p w:rsidR="00BA6030" w:rsidRDefault="00C80728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Response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Show</w:t>
      </w:r>
      <w:r>
        <w:rPr>
          <w:spacing w:val="-5"/>
          <w:sz w:val="24"/>
        </w:rPr>
        <w:t xml:space="preserve"> </w:t>
      </w:r>
      <w:r>
        <w:rPr>
          <w:sz w:val="24"/>
        </w:rPr>
        <w:t>Cause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</w:p>
    <w:p w:rsidR="00BA6030" w:rsidRDefault="00C80728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Hearing</w:t>
      </w:r>
    </w:p>
    <w:p w:rsidR="00BA6030" w:rsidRDefault="00C80728">
      <w:pPr>
        <w:pStyle w:val="ListParagraph"/>
        <w:numPr>
          <w:ilvl w:val="1"/>
          <w:numId w:val="1"/>
        </w:numPr>
        <w:tabs>
          <w:tab w:val="left" w:pos="821"/>
        </w:tabs>
        <w:spacing w:before="201"/>
        <w:ind w:hanging="361"/>
        <w:rPr>
          <w:sz w:val="24"/>
        </w:rPr>
      </w:pPr>
      <w:r>
        <w:rPr>
          <w:sz w:val="24"/>
        </w:rPr>
        <w:t>Post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Hearing</w:t>
      </w:r>
      <w:r>
        <w:rPr>
          <w:spacing w:val="-6"/>
          <w:sz w:val="24"/>
        </w:rPr>
        <w:t xml:space="preserve"> </w:t>
      </w:r>
      <w:r>
        <w:rPr>
          <w:sz w:val="24"/>
        </w:rPr>
        <w:t>(Submissions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to,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hearing)</w:t>
      </w:r>
    </w:p>
    <w:p w:rsidR="00BA6030" w:rsidRDefault="00C80728">
      <w:pPr>
        <w:pStyle w:val="BodyText"/>
        <w:ind w:right="114" w:firstLine="67"/>
      </w:pPr>
      <w:r>
        <w:t>After considering all the facts, materials, comments etc. available on record, the</w:t>
      </w:r>
      <w:r>
        <w:rPr>
          <w:spacing w:val="1"/>
        </w:rPr>
        <w:t xml:space="preserve"> </w:t>
      </w:r>
      <w:r>
        <w:t>Enforcement Department takes a view, depending upon the nature and</w:t>
      </w:r>
      <w:r>
        <w:rPr>
          <w:spacing w:val="66"/>
        </w:rPr>
        <w:t xml:space="preserve"> </w:t>
      </w:r>
      <w:r>
        <w:t>content of</w:t>
      </w:r>
      <w:r>
        <w:rPr>
          <w:spacing w:val="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observation,</w:t>
      </w:r>
      <w:r>
        <w:rPr>
          <w:spacing w:val="31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whether</w:t>
      </w:r>
      <w:r>
        <w:rPr>
          <w:spacing w:val="33"/>
        </w:rPr>
        <w:t xml:space="preserve"> </w:t>
      </w:r>
      <w:r>
        <w:t>there</w:t>
      </w:r>
      <w:r>
        <w:rPr>
          <w:spacing w:val="33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non-compliance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regulatory</w:t>
      </w:r>
      <w:r>
        <w:rPr>
          <w:spacing w:val="29"/>
        </w:rPr>
        <w:t xml:space="preserve"> </w:t>
      </w:r>
      <w:r>
        <w:t>provision</w:t>
      </w:r>
    </w:p>
    <w:p w:rsidR="00BA6030" w:rsidRDefault="00BA6030">
      <w:pPr>
        <w:sectPr w:rsidR="00BA6030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</w:p>
    <w:p w:rsidR="00BA6030" w:rsidRDefault="00C80728">
      <w:pPr>
        <w:pStyle w:val="BodyText"/>
        <w:spacing w:before="79"/>
        <w:ind w:right="115"/>
      </w:pPr>
      <w:r>
        <w:lastRenderedPageBreak/>
        <w:t>which warrants issue of Show Cause Notice or Issue of Advisory or Dropping the</w:t>
      </w:r>
      <w:r>
        <w:rPr>
          <w:spacing w:val="1"/>
        </w:rPr>
        <w:t xml:space="preserve"> </w:t>
      </w:r>
      <w:r>
        <w:t>observation.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placed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Competent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-</w:t>
      </w:r>
      <w:r>
        <w:rPr>
          <w:spacing w:val="-64"/>
        </w:rPr>
        <w:t xml:space="preserve"> </w:t>
      </w:r>
      <w:r>
        <w:t>Chairman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Member depending upon</w:t>
      </w:r>
      <w:r>
        <w:rPr>
          <w:spacing w:val="1"/>
        </w:rPr>
        <w:t xml:space="preserve"> </w:t>
      </w:r>
      <w:r>
        <w:t>the 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entity which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inspected,</w:t>
      </w:r>
      <w:r>
        <w:rPr>
          <w:spacing w:val="-3"/>
        </w:rPr>
        <w:t xml:space="preserve"> </w:t>
      </w:r>
      <w:r>
        <w:t>for his</w:t>
      </w:r>
      <w:r>
        <w:rPr>
          <w:spacing w:val="-3"/>
        </w:rPr>
        <w:t xml:space="preserve"> </w:t>
      </w:r>
      <w:r>
        <w:t>approval.</w:t>
      </w:r>
    </w:p>
    <w:p w:rsidR="00BA6030" w:rsidRDefault="00C80728">
      <w:pPr>
        <w:pStyle w:val="BodyText"/>
        <w:spacing w:before="200"/>
        <w:ind w:right="118"/>
      </w:pPr>
      <w:r>
        <w:t>On approval of</w:t>
      </w:r>
      <w:r>
        <w:rPr>
          <w:spacing w:val="1"/>
        </w:rPr>
        <w:t xml:space="preserve"> </w:t>
      </w:r>
      <w:r>
        <w:t>the actions proposed, further</w:t>
      </w:r>
      <w:r>
        <w:rPr>
          <w:spacing w:val="1"/>
        </w:rPr>
        <w:t xml:space="preserve"> </w:t>
      </w:r>
      <w:r>
        <w:t>action</w:t>
      </w:r>
      <w:r>
        <w:rPr>
          <w:spacing w:val="66"/>
        </w:rPr>
        <w:t xml:space="preserve"> </w:t>
      </w:r>
      <w:r>
        <w:t>(as the case may be) is taken</w:t>
      </w:r>
      <w:r>
        <w:rPr>
          <w:spacing w:val="1"/>
        </w:rPr>
        <w:t xml:space="preserve"> </w:t>
      </w:r>
      <w:r>
        <w:t xml:space="preserve">viz. Show </w:t>
      </w:r>
      <w:proofErr w:type="gramStart"/>
      <w:r>
        <w:t>Cause</w:t>
      </w:r>
      <w:proofErr w:type="gramEnd"/>
      <w:r>
        <w:t xml:space="preserve"> Notice is issued, Advisory is issued.   </w:t>
      </w:r>
      <w:r>
        <w:rPr>
          <w:spacing w:val="1"/>
        </w:rPr>
        <w:t xml:space="preserve"> </w:t>
      </w:r>
      <w:r>
        <w:t xml:space="preserve">Wherever Show </w:t>
      </w:r>
      <w:proofErr w:type="gramStart"/>
      <w:r>
        <w:t>Cause</w:t>
      </w:r>
      <w:proofErr w:type="gramEnd"/>
      <w:r>
        <w:rPr>
          <w:spacing w:val="1"/>
        </w:rPr>
        <w:t xml:space="preserve"> </w:t>
      </w:r>
      <w:r>
        <w:t>Notice is issued to the entity, an opportunity of personal hearing is granted to the</w:t>
      </w:r>
      <w:r>
        <w:rPr>
          <w:spacing w:val="1"/>
        </w:rPr>
        <w:t xml:space="preserve"> </w:t>
      </w:r>
      <w:r>
        <w:t>entity (if the entity seeks for personal hearing).</w:t>
      </w:r>
      <w:r>
        <w:rPr>
          <w:spacing w:val="1"/>
        </w:rPr>
        <w:t xml:space="preserve"> </w:t>
      </w:r>
      <w:r>
        <w:t>On the basis of the submissions in</w:t>
      </w:r>
      <w:r>
        <w:rPr>
          <w:spacing w:val="1"/>
        </w:rPr>
        <w:t xml:space="preserve"> </w:t>
      </w:r>
      <w:r>
        <w:t>response to the Show Cause Notice and the submissions made during the personal</w:t>
      </w:r>
      <w:r>
        <w:rPr>
          <w:spacing w:val="1"/>
        </w:rPr>
        <w:t xml:space="preserve"> </w:t>
      </w:r>
      <w:r>
        <w:t>hearing</w:t>
      </w:r>
      <w:r>
        <w:rPr>
          <w:spacing w:val="1"/>
        </w:rPr>
        <w:t xml:space="preserve"> </w:t>
      </w:r>
      <w:r>
        <w:t>(and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wishes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hearing,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additional</w:t>
      </w:r>
      <w:r>
        <w:rPr>
          <w:spacing w:val="-64"/>
        </w:rPr>
        <w:t xml:space="preserve"> </w:t>
      </w:r>
      <w:r>
        <w:t>documents/evidence), a final order is issued. Wherever penalty or Warning is issued</w:t>
      </w:r>
      <w:r>
        <w:rPr>
          <w:spacing w:val="1"/>
        </w:rPr>
        <w:t xml:space="preserve"> </w:t>
      </w:r>
      <w:r>
        <w:t>to the entity, the final orders of such cases are placed on the website of the Authority</w:t>
      </w:r>
      <w:r>
        <w:rPr>
          <w:spacing w:val="-64"/>
        </w:rPr>
        <w:t xml:space="preserve"> </w:t>
      </w:r>
      <w:r>
        <w:t>under “Warnings &amp; Penalties”.</w:t>
      </w:r>
      <w:r>
        <w:rPr>
          <w:spacing w:val="1"/>
        </w:rPr>
        <w:t xml:space="preserve"> </w:t>
      </w:r>
      <w:r>
        <w:t>With the issue of final order in any case, the report of</w:t>
      </w:r>
      <w:r>
        <w:rPr>
          <w:spacing w:val="1"/>
        </w:rPr>
        <w:t xml:space="preserve"> </w:t>
      </w:r>
      <w:r>
        <w:t>inspection</w:t>
      </w:r>
      <w:r>
        <w:rPr>
          <w:spacing w:val="-1"/>
        </w:rPr>
        <w:t xml:space="preserve"> </w:t>
      </w:r>
      <w:r>
        <w:t>is brought to an</w:t>
      </w:r>
      <w:r>
        <w:rPr>
          <w:spacing w:val="-2"/>
        </w:rPr>
        <w:t xml:space="preserve"> </w:t>
      </w:r>
      <w:r>
        <w:t>end.</w:t>
      </w:r>
    </w:p>
    <w:p w:rsidR="00BA6030" w:rsidRDefault="00C80728">
      <w:pPr>
        <w:pStyle w:val="Heading1"/>
        <w:spacing w:before="203"/>
        <w:jc w:val="both"/>
        <w:rPr>
          <w:u w:val="none"/>
        </w:rPr>
      </w:pPr>
      <w:r>
        <w:rPr>
          <w:u w:val="thick"/>
        </w:rPr>
        <w:t>Adjudication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Process</w:t>
      </w:r>
    </w:p>
    <w:p w:rsidR="00BA6030" w:rsidRDefault="00C80728">
      <w:pPr>
        <w:pStyle w:val="BodyText"/>
        <w:ind w:right="115"/>
      </w:pPr>
      <w:r>
        <w:t>Consequent to the amendment to the Insurance Act, 1938, carried out in the year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proofErr w:type="spellStart"/>
      <w:r>
        <w:t>w.e.f</w:t>
      </w:r>
      <w:proofErr w:type="spellEnd"/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 process</w:t>
      </w:r>
      <w:r>
        <w:rPr>
          <w:spacing w:val="1"/>
        </w:rPr>
        <w:t xml:space="preserve"> </w:t>
      </w:r>
      <w:r>
        <w:t>viz.</w:t>
      </w:r>
      <w:r>
        <w:rPr>
          <w:spacing w:val="1"/>
        </w:rPr>
        <w:t xml:space="preserve"> </w:t>
      </w:r>
      <w:r>
        <w:t>Adjudication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has</w:t>
      </w:r>
      <w:r>
        <w:rPr>
          <w:spacing w:val="66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brought into force. Under that, the violation of certain sections of the Insurance Act,</w:t>
      </w:r>
      <w:r>
        <w:rPr>
          <w:spacing w:val="1"/>
        </w:rPr>
        <w:t xml:space="preserve"> </w:t>
      </w:r>
      <w:r>
        <w:t>1938</w:t>
      </w:r>
      <w:r>
        <w:rPr>
          <w:spacing w:val="3"/>
        </w:rPr>
        <w:t xml:space="preserve"> </w:t>
      </w:r>
      <w:r>
        <w:t>viz.</w:t>
      </w:r>
      <w:r>
        <w:rPr>
          <w:spacing w:val="6"/>
        </w:rPr>
        <w:t xml:space="preserve"> </w:t>
      </w:r>
      <w:r>
        <w:t>sub-section</w:t>
      </w:r>
      <w:r>
        <w:rPr>
          <w:spacing w:val="-1"/>
        </w:rPr>
        <w:t xml:space="preserve"> </w:t>
      </w:r>
      <w:r>
        <w:t>(2)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2CB,</w:t>
      </w:r>
      <w:r>
        <w:rPr>
          <w:spacing w:val="1"/>
        </w:rPr>
        <w:t xml:space="preserve"> </w:t>
      </w:r>
      <w:r>
        <w:t>sub-section</w:t>
      </w:r>
      <w:r>
        <w:rPr>
          <w:spacing w:val="3"/>
        </w:rPr>
        <w:t xml:space="preserve"> </w:t>
      </w:r>
      <w:r>
        <w:t>(4)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34B,</w:t>
      </w:r>
      <w:r>
        <w:rPr>
          <w:spacing w:val="1"/>
        </w:rPr>
        <w:t xml:space="preserve"> </w:t>
      </w:r>
      <w:r>
        <w:t>sub-section</w:t>
      </w:r>
    </w:p>
    <w:p w:rsidR="00BA6030" w:rsidRDefault="00C80728">
      <w:pPr>
        <w:pStyle w:val="BodyText"/>
        <w:spacing w:before="0"/>
        <w:ind w:right="115"/>
      </w:pPr>
      <w:r>
        <w:t>(3)</w:t>
      </w:r>
      <w:r>
        <w:rPr>
          <w:spacing w:val="25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section</w:t>
      </w:r>
      <w:r>
        <w:rPr>
          <w:spacing w:val="24"/>
        </w:rPr>
        <w:t xml:space="preserve"> </w:t>
      </w:r>
      <w:r>
        <w:t>40,</w:t>
      </w:r>
      <w:r>
        <w:rPr>
          <w:spacing w:val="27"/>
        </w:rPr>
        <w:t xml:space="preserve"> </w:t>
      </w:r>
      <w:r>
        <w:t>sub-section</w:t>
      </w:r>
      <w:r>
        <w:rPr>
          <w:spacing w:val="25"/>
        </w:rPr>
        <w:t xml:space="preserve"> </w:t>
      </w:r>
      <w:r>
        <w:t>(2)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section</w:t>
      </w:r>
      <w:r>
        <w:rPr>
          <w:spacing w:val="25"/>
        </w:rPr>
        <w:t xml:space="preserve"> </w:t>
      </w:r>
      <w:r>
        <w:t>41,</w:t>
      </w:r>
      <w:r>
        <w:rPr>
          <w:spacing w:val="26"/>
        </w:rPr>
        <w:t xml:space="preserve"> </w:t>
      </w:r>
      <w:r>
        <w:t>sub-sections</w:t>
      </w:r>
      <w:r>
        <w:rPr>
          <w:spacing w:val="27"/>
        </w:rPr>
        <w:t xml:space="preserve"> </w:t>
      </w:r>
      <w:r>
        <w:t>(4)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(5)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section</w:t>
      </w:r>
      <w:r>
        <w:rPr>
          <w:spacing w:val="-64"/>
        </w:rPr>
        <w:t xml:space="preserve"> </w:t>
      </w:r>
      <w:r>
        <w:t>42, sub-sections (8) and (9) of section 42D, section 52F and section 105B, requires</w:t>
      </w:r>
      <w:r>
        <w:rPr>
          <w:spacing w:val="1"/>
        </w:rPr>
        <w:t xml:space="preserve"> </w:t>
      </w:r>
      <w:r>
        <w:t xml:space="preserve">reference  </w:t>
      </w:r>
      <w:r>
        <w:rPr>
          <w:spacing w:val="1"/>
        </w:rPr>
        <w:t xml:space="preserve"> </w:t>
      </w:r>
      <w:r>
        <w:t>under Section 105C of the Insurance Act to Adjudicating Officer for</w:t>
      </w:r>
      <w:r>
        <w:rPr>
          <w:spacing w:val="1"/>
        </w:rPr>
        <w:t xml:space="preserve"> </w:t>
      </w:r>
      <w:r>
        <w:t>dealing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adjudication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specified</w:t>
      </w:r>
      <w:r>
        <w:rPr>
          <w:spacing w:val="67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>Adjudication</w:t>
      </w:r>
      <w:r>
        <w:rPr>
          <w:spacing w:val="-1"/>
        </w:rPr>
        <w:t xml:space="preserve"> </w:t>
      </w:r>
      <w:r>
        <w:t>Rules 2016.</w:t>
      </w:r>
    </w:p>
    <w:sectPr w:rsidR="00BA6030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 MT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A5D73"/>
    <w:multiLevelType w:val="hybridMultilevel"/>
    <w:tmpl w:val="B086BBC0"/>
    <w:lvl w:ilvl="0" w:tplc="5E7AFD1A">
      <w:start w:val="1"/>
      <w:numFmt w:val="lowerRoman"/>
      <w:lvlText w:val="%1)"/>
      <w:lvlJc w:val="left"/>
      <w:pPr>
        <w:ind w:left="100" w:hanging="226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9552FD92">
      <w:start w:val="1"/>
      <w:numFmt w:val="lowerRoman"/>
      <w:lvlText w:val="%2)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2" w:tplc="8EC0EBC8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E5B049A8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45F091B2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C64A9D94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DA128B70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ACCECB44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86888168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A6030"/>
    <w:rsid w:val="00434BC7"/>
    <w:rsid w:val="00BA6030"/>
    <w:rsid w:val="00C8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70CE"/>
  <w15:docId w15:val="{E047CB41-FF4F-48DB-A024-CA7C3806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1"/>
      <w:ind w:left="1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9"/>
      <w:ind w:left="10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0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FBE0CF2C5F44286A527C2D2B6DD1C" ma:contentTypeVersion="12" ma:contentTypeDescription="Create a new document." ma:contentTypeScope="" ma:versionID="d6d08b7a22ac7a6f48973df21e7130dd">
  <xsd:schema xmlns:xsd="http://www.w3.org/2001/XMLSchema" xmlns:xs="http://www.w3.org/2001/XMLSchema" xmlns:p="http://schemas.microsoft.com/office/2006/metadata/properties" xmlns:ns2="06f6c57f-00a7-4118-afc2-791fe10ed541" xmlns:ns3="3fc64cca-49e3-44f9-ba7d-f415f6ec87f5" targetNamespace="http://schemas.microsoft.com/office/2006/metadata/properties" ma:root="true" ma:fieldsID="8fdf18e4e79bed9de137780ee504a3a9" ns2:_="" ns3:_="">
    <xsd:import namespace="06f6c57f-00a7-4118-afc2-791fe10ed541"/>
    <xsd:import namespace="3fc64cca-49e3-44f9-ba7d-f415f6ec8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c57f-00a7-4118-afc2-791fe10ed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64cca-49e3-44f9-ba7d-f415f6ec8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FFB459-5EF4-47B8-B644-1F885FCFE38D}"/>
</file>

<file path=customXml/itemProps2.xml><?xml version="1.0" encoding="utf-8"?>
<ds:datastoreItem xmlns:ds="http://schemas.openxmlformats.org/officeDocument/2006/customXml" ds:itemID="{FE84A3EB-FE93-4869-9C9C-5F27F529D732}"/>
</file>

<file path=customXml/itemProps3.xml><?xml version="1.0" encoding="utf-8"?>
<ds:datastoreItem xmlns:ds="http://schemas.openxmlformats.org/officeDocument/2006/customXml" ds:itemID="{82C2D96A-B82D-465E-A4F2-A542B373C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raghavan</dc:creator>
  <cp:lastModifiedBy>LENOVO</cp:lastModifiedBy>
  <cp:revision>3</cp:revision>
  <dcterms:created xsi:type="dcterms:W3CDTF">2021-08-26T10:16:00Z</dcterms:created>
  <dcterms:modified xsi:type="dcterms:W3CDTF">2021-08-27T04:05:00Z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2021-08-26T00:00:00Z</vt:filetime>
  </property>
  <property fmtid="{D5CDD505-2E9C-101B-9397-08002B2CF9AE}" pid="5" name="ContentTypeId">
    <vt:lpwstr>0x010100B0FFBE0CF2C5F44286A527C2D2B6DD1C</vt:lpwstr>
  </property>
</Properties>
</file>